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уведомляет                   о проведении публичных консультаций посредством сбора замечаний                  и пр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по п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роект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  <w:r>
              <w:rPr>
                <w:sz w:val="28"/>
                <w:szCs w:val="28"/>
              </w:rPr>
              <w:t xml:space="preserve"> постановления </w:t>
            </w:r>
            <w:r>
              <w:rPr>
                <w:sz w:val="28"/>
                <w:szCs w:val="28"/>
              </w:rPr>
              <w:t xml:space="preserve">А</w:t>
            </w:r>
            <w:r>
              <w:rPr>
                <w:sz w:val="28"/>
                <w:szCs w:val="28"/>
              </w:rPr>
              <w:t xml:space="preserve">дминистрации </w:t>
            </w:r>
            <w:r>
              <w:rPr>
                <w:sz w:val="28"/>
                <w:szCs w:val="28"/>
              </w:rPr>
              <w:t xml:space="preserve">Ивнянского </w:t>
            </w:r>
            <w:r>
              <w:rPr>
                <w:sz w:val="28"/>
                <w:szCs w:val="28"/>
              </w:rPr>
              <w:t xml:space="preserve">муниципального</w:t>
            </w:r>
            <w:r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 «</w:t>
            </w:r>
            <w:r>
              <w:rPr>
                <w:sz w:val="28"/>
                <w:szCs w:val="28"/>
              </w:rPr>
              <w:t xml:space="preserve">Об утверждении Порядка проведения мониторинга дебиторской задолженности по неналоговым доходам  бюджета Ивнянского муниципального округа и принятых мер по сокращению просроченной дебиторской задолженности</w:t>
            </w:r>
            <w:r>
              <w:rPr>
                <w:bCs/>
                <w:sz w:val="28"/>
                <w:szCs w:val="28"/>
              </w:rPr>
              <w:t xml:space="preserve">»</w:t>
            </w:r>
            <w:r>
              <w:rPr>
                <w:sz w:val="28"/>
                <w:szCs w:val="28"/>
              </w:rPr>
              <w:t xml:space="preserve">,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отношении которых планируется заключение концессионных соглашений»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  <w:p>
            <w:pPr>
              <w:pStyle w:val="839"/>
              <w:jc w:val="both"/>
              <w:widowControl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sz w:val="27"/>
                <w:szCs w:val="27"/>
              </w:rPr>
            </w:r>
            <w:r/>
          </w:p>
          <w:p>
            <w:pPr>
              <w:jc w:val="both"/>
              <w:spacing w:before="3" w:after="26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нормативно-правовым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</w:t>
            </w:r>
            <w:r>
              <w:rPr>
                <w:rFonts w:eastAsia="Times New Roman"/>
              </w:rPr>
              <w:t xml:space="preserve">23</w:t>
            </w:r>
            <w:r>
              <w:rPr>
                <w:rFonts w:eastAsia="Times New Roman"/>
              </w:rPr>
              <w:t xml:space="preserve">.01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05</w:t>
            </w:r>
            <w:r>
              <w:rPr>
                <w:rFonts w:eastAsia="Times New Roman"/>
              </w:rPr>
              <w:t xml:space="preserve">.02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</w:t>
              </w:r>
              <w:r>
                <w:rPr>
                  <w:rStyle w:val="835"/>
                </w:rPr>
                <w:t xml:space="preserve">:</w:t>
              </w:r>
              <w:r>
                <w:rPr>
                  <w:rStyle w:val="835"/>
                </w:rPr>
                <w:t xml:space="preserve">//admivnya.gosuslugi.ru/deyatelnost/napravleniya-deyatelnosti/antimonopolnyy-kom</w:t>
              </w:r>
              <w:r>
                <w:rPr>
                  <w:rStyle w:val="835"/>
                </w:rPr>
                <w:t xml:space="preserve">p</w:t>
              </w:r>
              <w:r>
                <w:rPr>
                  <w:rStyle w:val="835"/>
                </w:rPr>
                <w:t xml:space="preserve">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78</cp:revision>
  <dcterms:created xsi:type="dcterms:W3CDTF">2021-04-09T06:48:00Z</dcterms:created>
  <dcterms:modified xsi:type="dcterms:W3CDTF">2026-01-23T06:01:23Z</dcterms:modified>
</cp:coreProperties>
</file>